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D4" w:rsidRDefault="00AC52FC" w:rsidP="0032609F">
      <w:pPr>
        <w:pStyle w:val="Title"/>
      </w:pPr>
      <w:r>
        <w:t>The Transgender Revolution</w:t>
      </w:r>
    </w:p>
    <w:p w:rsidR="00AC52FC" w:rsidRDefault="00D55264">
      <w:r>
        <w:t>In our day,</w:t>
      </w:r>
      <w:r w:rsidR="00AC52FC">
        <w:t xml:space="preserve"> traditional social and sexual norms are being challenged like never before. The </w:t>
      </w:r>
      <w:r w:rsidR="00641047">
        <w:t>t</w:t>
      </w:r>
      <w:r w:rsidR="00AC52FC">
        <w:t xml:space="preserve">ransgender </w:t>
      </w:r>
      <w:r w:rsidR="00641047">
        <w:t>r</w:t>
      </w:r>
      <w:r w:rsidR="00AC52FC">
        <w:t xml:space="preserve">evolution (a.k.a. the </w:t>
      </w:r>
      <w:r w:rsidR="00641047">
        <w:t>t</w:t>
      </w:r>
      <w:r w:rsidR="00AC52FC">
        <w:t xml:space="preserve">ransgender </w:t>
      </w:r>
      <w:r w:rsidR="00641047">
        <w:t>r</w:t>
      </w:r>
      <w:r w:rsidR="00AC52FC">
        <w:t xml:space="preserve">ights </w:t>
      </w:r>
      <w:r w:rsidR="00641047">
        <w:t>m</w:t>
      </w:r>
      <w:r w:rsidR="00AC52FC">
        <w:t>ovement) seeks widespread societal acceptance of the views that gender should be understood in nonbinary categories and that individuals can contribute to or achieve self-actualization by autonomously choosing their own gender identit</w:t>
      </w:r>
      <w:r w:rsidR="00641047">
        <w:t>ies</w:t>
      </w:r>
      <w:r w:rsidR="00AC52FC">
        <w:t>.</w:t>
      </w:r>
    </w:p>
    <w:p w:rsidR="00AC52FC" w:rsidRDefault="00AC52FC">
      <w:r>
        <w:t>In contrast to this revolutionary movement, the General Association of Regular Baptist Churches understands the Scriptures to teach</w:t>
      </w:r>
      <w:r w:rsidR="00641047">
        <w:t xml:space="preserve"> the following</w:t>
      </w:r>
      <w:r w:rsidR="005B4091">
        <w:t>:</w:t>
      </w:r>
    </w:p>
    <w:p w:rsidR="00AC52FC" w:rsidRDefault="00AC52FC" w:rsidP="00AC52FC">
      <w:pPr>
        <w:pStyle w:val="ListParagraph"/>
        <w:numPr>
          <w:ilvl w:val="0"/>
          <w:numId w:val="1"/>
        </w:numPr>
      </w:pPr>
      <w:r>
        <w:t>Human gender has been established by our Crea</w:t>
      </w:r>
      <w:r w:rsidR="00001121">
        <w:t>tor in fixed, binary categories</w:t>
      </w:r>
      <w:r w:rsidR="00BA74EF">
        <w:t xml:space="preserve">: </w:t>
      </w:r>
      <w:r w:rsidR="00001121" w:rsidRPr="00001121">
        <w:rPr>
          <w:i/>
          <w:iCs/>
        </w:rPr>
        <w:t>male</w:t>
      </w:r>
      <w:r w:rsidR="00001121">
        <w:t xml:space="preserve"> and </w:t>
      </w:r>
      <w:r w:rsidR="00001121" w:rsidRPr="00001121">
        <w:rPr>
          <w:i/>
          <w:iCs/>
        </w:rPr>
        <w:t>female</w:t>
      </w:r>
      <w:r w:rsidR="00001121">
        <w:t xml:space="preserve"> </w:t>
      </w:r>
      <w:r>
        <w:t>(Gen. 1:27</w:t>
      </w:r>
      <w:r w:rsidR="00C85383">
        <w:t>; Matt. 19:4</w:t>
      </w:r>
      <w:r>
        <w:t>). This arrangement reflects the Creator’s wise and intentional design.</w:t>
      </w:r>
    </w:p>
    <w:p w:rsidR="00001121" w:rsidRDefault="00001121" w:rsidP="00AC52FC">
      <w:pPr>
        <w:pStyle w:val="ListParagraph"/>
        <w:numPr>
          <w:ilvl w:val="0"/>
          <w:numId w:val="1"/>
        </w:numPr>
      </w:pPr>
      <w:r>
        <w:t>Acts that violate these gender distinctions are “</w:t>
      </w:r>
      <w:r w:rsidR="00D5282C">
        <w:t>[abominable]</w:t>
      </w:r>
      <w:r>
        <w:t xml:space="preserve"> to the Lord” (Deut. 22:5)</w:t>
      </w:r>
      <w:r w:rsidR="00D5282C">
        <w:t xml:space="preserve">, unrighteous (1 Cor. 6:9), and </w:t>
      </w:r>
      <w:r w:rsidR="001E1430">
        <w:t>contrary to nature (1 Cor. 11:14</w:t>
      </w:r>
      <w:r w:rsidR="00641047">
        <w:t xml:space="preserve">, </w:t>
      </w:r>
      <w:r w:rsidR="001E1430">
        <w:t>15).</w:t>
      </w:r>
    </w:p>
    <w:p w:rsidR="001E1430" w:rsidRDefault="007C51E3" w:rsidP="00AC52FC">
      <w:pPr>
        <w:pStyle w:val="ListParagraph"/>
        <w:numPr>
          <w:ilvl w:val="0"/>
          <w:numId w:val="1"/>
        </w:numPr>
      </w:pPr>
      <w:r>
        <w:t>Ultimate fulfillment cannot be found in personal autonomy or self-actualization. Rather, it is found through self-denial (Matt</w:t>
      </w:r>
      <w:r w:rsidR="00641047">
        <w:t>.</w:t>
      </w:r>
      <w:r>
        <w:t xml:space="preserve"> 16:24</w:t>
      </w:r>
      <w:r w:rsidR="00641047">
        <w:rPr>
          <w:rFonts w:ascii="Times New Roman" w:hAnsi="Times New Roman" w:cs="Times New Roman"/>
        </w:rPr>
        <w:t>–</w:t>
      </w:r>
      <w:r>
        <w:t>26), dying to sin (Rom. 6:8</w:t>
      </w:r>
      <w:r w:rsidR="00641047">
        <w:rPr>
          <w:rFonts w:ascii="Times New Roman" w:hAnsi="Times New Roman" w:cs="Times New Roman"/>
        </w:rPr>
        <w:t>–</w:t>
      </w:r>
      <w:r>
        <w:t xml:space="preserve">11), and submitting </w:t>
      </w:r>
      <w:r w:rsidR="0032609F">
        <w:t xml:space="preserve">one’s life </w:t>
      </w:r>
      <w:r>
        <w:t>to Christ (</w:t>
      </w:r>
      <w:r w:rsidR="005B4091">
        <w:t>John 14:21</w:t>
      </w:r>
      <w:r w:rsidR="00641047">
        <w:rPr>
          <w:rFonts w:ascii="Times New Roman" w:hAnsi="Times New Roman" w:cs="Times New Roman"/>
        </w:rPr>
        <w:t>–</w:t>
      </w:r>
      <w:r w:rsidR="005B4091">
        <w:t xml:space="preserve">24; </w:t>
      </w:r>
      <w:r>
        <w:t>2 Cor. 10:5)</w:t>
      </w:r>
      <w:r w:rsidR="005B4091">
        <w:t>.</w:t>
      </w:r>
    </w:p>
    <w:p w:rsidR="005B4091" w:rsidRDefault="005B4091" w:rsidP="005B4091">
      <w:r>
        <w:t>At the same time, we recognize</w:t>
      </w:r>
      <w:r w:rsidR="00641047">
        <w:t xml:space="preserve"> the following</w:t>
      </w:r>
      <w:r>
        <w:t>:</w:t>
      </w:r>
    </w:p>
    <w:p w:rsidR="005B4091" w:rsidRDefault="005B4091" w:rsidP="005B4091">
      <w:pPr>
        <w:pStyle w:val="ListParagraph"/>
        <w:numPr>
          <w:ilvl w:val="0"/>
          <w:numId w:val="1"/>
        </w:numPr>
      </w:pPr>
      <w:r>
        <w:t xml:space="preserve">All humans—including those who </w:t>
      </w:r>
      <w:r w:rsidR="0032609F">
        <w:t>view themselves</w:t>
      </w:r>
      <w:r>
        <w:t xml:space="preserve"> as transgendered—are bearers of the divine image (Gen. 1:26</w:t>
      </w:r>
      <w:r w:rsidR="00641047">
        <w:t xml:space="preserve">, </w:t>
      </w:r>
      <w:r>
        <w:t>27; Jas. 3:9), and therefore possess immense intrinsic value and dignity.</w:t>
      </w:r>
    </w:p>
    <w:p w:rsidR="005B4091" w:rsidRDefault="005B4091" w:rsidP="005B4091">
      <w:pPr>
        <w:pStyle w:val="ListParagraph"/>
        <w:numPr>
          <w:ilvl w:val="0"/>
          <w:numId w:val="1"/>
        </w:numPr>
      </w:pPr>
      <w:r>
        <w:t>All humans are sinful by nature (Rom. 3:10</w:t>
      </w:r>
      <w:r w:rsidR="00641047">
        <w:rPr>
          <w:rFonts w:ascii="Times New Roman" w:hAnsi="Times New Roman" w:cs="Times New Roman"/>
        </w:rPr>
        <w:t>–</w:t>
      </w:r>
      <w:r>
        <w:t>18) and in need of a Savior (Rom. 5:6).</w:t>
      </w:r>
    </w:p>
    <w:p w:rsidR="005B4091" w:rsidRDefault="005B4091" w:rsidP="005B4091">
      <w:pPr>
        <w:pStyle w:val="ListParagraph"/>
        <w:numPr>
          <w:ilvl w:val="0"/>
          <w:numId w:val="1"/>
        </w:numPr>
      </w:pPr>
      <w:r>
        <w:t>All humans are objects of God’s love (John 3:16). His expressed desire is not to condemn them, but to save them (2 Pet. 3:9</w:t>
      </w:r>
      <w:r w:rsidR="00C85383">
        <w:t>; 1 Cor. 6:9–1</w:t>
      </w:r>
      <w:bookmarkStart w:id="0" w:name="_GoBack"/>
      <w:bookmarkEnd w:id="0"/>
      <w:r w:rsidR="00C85383">
        <w:t>1</w:t>
      </w:r>
      <w:r>
        <w:t>).</w:t>
      </w:r>
    </w:p>
    <w:p w:rsidR="005B4091" w:rsidRDefault="005B4091" w:rsidP="005B4091">
      <w:r>
        <w:t xml:space="preserve">In light of these things, </w:t>
      </w:r>
      <w:r w:rsidR="00F920CF">
        <w:t>be it</w:t>
      </w:r>
      <w:r>
        <w:t xml:space="preserve"> resolve</w:t>
      </w:r>
      <w:r w:rsidR="00F920CF">
        <w:t>d</w:t>
      </w:r>
      <w:r>
        <w:t xml:space="preserve"> that</w:t>
      </w:r>
    </w:p>
    <w:p w:rsidR="005B4091" w:rsidRDefault="005B4091" w:rsidP="005B4091">
      <w:pPr>
        <w:pStyle w:val="ListParagraph"/>
        <w:numPr>
          <w:ilvl w:val="0"/>
          <w:numId w:val="2"/>
        </w:numPr>
      </w:pPr>
      <w:r>
        <w:t>We</w:t>
      </w:r>
      <w:r w:rsidR="00F920CF">
        <w:t xml:space="preserve"> reject the philosophical basis</w:t>
      </w:r>
      <w:r w:rsidR="00D55264">
        <w:rPr>
          <w:rStyle w:val="FootnoteReference"/>
        </w:rPr>
        <w:footnoteReference w:id="1"/>
      </w:r>
      <w:r w:rsidR="00F920CF">
        <w:t xml:space="preserve"> underlying the </w:t>
      </w:r>
      <w:r w:rsidR="00641047">
        <w:t>t</w:t>
      </w:r>
      <w:r w:rsidR="00F920CF">
        <w:t xml:space="preserve">ransgender </w:t>
      </w:r>
      <w:r w:rsidR="00641047">
        <w:t>r</w:t>
      </w:r>
      <w:r w:rsidR="00F920CF">
        <w:t>evolution and the movement’s proposed new ethical norms, as they are inconsistent with the dictates of Scripture a</w:t>
      </w:r>
      <w:r w:rsidR="008D6F3F">
        <w:t>nd the design of God.</w:t>
      </w:r>
    </w:p>
    <w:p w:rsidR="00F920CF" w:rsidRDefault="00F920CF" w:rsidP="005B4091">
      <w:pPr>
        <w:pStyle w:val="ListParagraph"/>
        <w:numPr>
          <w:ilvl w:val="0"/>
          <w:numId w:val="2"/>
        </w:numPr>
      </w:pPr>
      <w:r>
        <w:t xml:space="preserve">We oppose the sweeping </w:t>
      </w:r>
      <w:r w:rsidR="0032609F">
        <w:t>public policy</w:t>
      </w:r>
      <w:r>
        <w:t xml:space="preserve"> outcomes</w:t>
      </w:r>
      <w:r w:rsidR="00D55264">
        <w:rPr>
          <w:rStyle w:val="FootnoteReference"/>
        </w:rPr>
        <w:footnoteReference w:id="2"/>
      </w:r>
      <w:r>
        <w:t xml:space="preserve"> sought by proponents of the </w:t>
      </w:r>
      <w:r w:rsidR="00641047">
        <w:t>t</w:t>
      </w:r>
      <w:r>
        <w:t xml:space="preserve">ransgender </w:t>
      </w:r>
      <w:r w:rsidR="00641047">
        <w:t>r</w:t>
      </w:r>
      <w:r>
        <w:t>evolution, as they are detrimental to human flourishing and injurious to society’s morality.</w:t>
      </w:r>
    </w:p>
    <w:p w:rsidR="00F920CF" w:rsidRDefault="00F920CF" w:rsidP="005B4091">
      <w:pPr>
        <w:pStyle w:val="ListParagraph"/>
        <w:numPr>
          <w:ilvl w:val="0"/>
          <w:numId w:val="2"/>
        </w:numPr>
      </w:pPr>
      <w:r>
        <w:t xml:space="preserve">Nevertheless, we call on </w:t>
      </w:r>
      <w:r w:rsidR="0032609F">
        <w:t xml:space="preserve">our </w:t>
      </w:r>
      <w:r>
        <w:t xml:space="preserve">churches to minister to those who suffer from gender confusion </w:t>
      </w:r>
      <w:r w:rsidR="00F92A7E">
        <w:t xml:space="preserve">or who advocate for the </w:t>
      </w:r>
      <w:r w:rsidR="00641047">
        <w:t>t</w:t>
      </w:r>
      <w:r w:rsidR="00F92A7E">
        <w:t xml:space="preserve">ransgender </w:t>
      </w:r>
      <w:r w:rsidR="00641047">
        <w:t>r</w:t>
      </w:r>
      <w:r w:rsidR="00F92A7E">
        <w:t xml:space="preserve">evolution </w:t>
      </w:r>
      <w:r>
        <w:t xml:space="preserve">with a spirit of compassion and love, not of </w:t>
      </w:r>
      <w:r w:rsidR="00B22AD5">
        <w:t xml:space="preserve">judgmental harshness, </w:t>
      </w:r>
      <w:r w:rsidR="0032609F">
        <w:t>recognizing that we are all sinners in need of God’s grace.</w:t>
      </w:r>
    </w:p>
    <w:p w:rsidR="0032609F" w:rsidRDefault="0032609F" w:rsidP="005B4091">
      <w:pPr>
        <w:pStyle w:val="ListParagraph"/>
        <w:numPr>
          <w:ilvl w:val="0"/>
          <w:numId w:val="2"/>
        </w:numPr>
      </w:pPr>
      <w:r>
        <w:t>We renew our commitment to proclaim the gospel as the only message that is able to meet people’s ultimate needs and give their lives true and lasting meaning.</w:t>
      </w:r>
    </w:p>
    <w:p w:rsidR="003E669D" w:rsidRPr="003E669D" w:rsidRDefault="003E669D" w:rsidP="003E669D">
      <w:pPr>
        <w:rPr>
          <w:i/>
          <w:iCs/>
        </w:rPr>
      </w:pPr>
      <w:r w:rsidRPr="003E669D">
        <w:rPr>
          <w:i/>
          <w:iCs/>
        </w:rPr>
        <w:t>Resolved by the messengers of the General Association of Regular Baptist Churches, meeting together in regular conference June 27—30, 2017, at Sandy Cove Ministries</w:t>
      </w:r>
      <w:r w:rsidR="00386FA1">
        <w:rPr>
          <w:i/>
          <w:iCs/>
        </w:rPr>
        <w:t xml:space="preserve"> Center</w:t>
      </w:r>
      <w:r w:rsidRPr="003E669D">
        <w:rPr>
          <w:i/>
          <w:iCs/>
        </w:rPr>
        <w:t xml:space="preserve"> in North East, Maryland.</w:t>
      </w:r>
    </w:p>
    <w:sectPr w:rsidR="003E669D" w:rsidRPr="003E6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F6" w:rsidRDefault="000071F6" w:rsidP="00D55264">
      <w:pPr>
        <w:spacing w:after="0" w:line="240" w:lineRule="auto"/>
      </w:pPr>
      <w:r>
        <w:separator/>
      </w:r>
    </w:p>
  </w:endnote>
  <w:endnote w:type="continuationSeparator" w:id="0">
    <w:p w:rsidR="000071F6" w:rsidRDefault="000071F6" w:rsidP="00D5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F6" w:rsidRDefault="000071F6" w:rsidP="00D55264">
      <w:pPr>
        <w:spacing w:after="0" w:line="240" w:lineRule="auto"/>
      </w:pPr>
      <w:r>
        <w:separator/>
      </w:r>
    </w:p>
  </w:footnote>
  <w:footnote w:type="continuationSeparator" w:id="0">
    <w:p w:rsidR="000071F6" w:rsidRDefault="000071F6" w:rsidP="00D55264">
      <w:pPr>
        <w:spacing w:after="0" w:line="240" w:lineRule="auto"/>
      </w:pPr>
      <w:r>
        <w:continuationSeparator/>
      </w:r>
    </w:p>
  </w:footnote>
  <w:footnote w:id="1">
    <w:p w:rsidR="00D55264" w:rsidRDefault="00D55264">
      <w:pPr>
        <w:pStyle w:val="FootnoteText"/>
      </w:pPr>
      <w:r>
        <w:rPr>
          <w:rStyle w:val="FootnoteReference"/>
        </w:rPr>
        <w:footnoteRef/>
      </w:r>
      <w:r>
        <w:t xml:space="preserve"> Namely, secular humanistic thinking that urges individuals to seek their self-worth and self-actualization without belief in and submission to our Creator.</w:t>
      </w:r>
    </w:p>
  </w:footnote>
  <w:footnote w:id="2">
    <w:p w:rsidR="00D55264" w:rsidRDefault="00D55264">
      <w:pPr>
        <w:pStyle w:val="FootnoteText"/>
      </w:pPr>
      <w:r>
        <w:rPr>
          <w:rStyle w:val="FootnoteReference"/>
        </w:rPr>
        <w:footnoteRef/>
      </w:r>
      <w:r>
        <w:t xml:space="preserve"> E.g., abolishing gender-</w:t>
      </w:r>
      <w:r w:rsidR="006A33E2">
        <w:t>binary restrictions on public restrooms, retroactively revising birth certificates to reflect one’s chosen gender identity, curtailing the use of gender-specific pronouns in everyday speech,</w:t>
      </w:r>
      <w:r w:rsidR="00300EC4">
        <w:t xml:space="preserve"> passing</w:t>
      </w:r>
      <w:r w:rsidR="006A33E2">
        <w:t xml:space="preserve"> so-called hate crime legislation that would criminalize</w:t>
      </w:r>
      <w:r w:rsidR="00AD7568">
        <w:t xml:space="preserve"> the</w:t>
      </w:r>
      <w:r w:rsidR="006A33E2">
        <w:t xml:space="preserve"> criticism of transgenderism,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7BD"/>
    <w:multiLevelType w:val="hybridMultilevel"/>
    <w:tmpl w:val="9820A2A2"/>
    <w:lvl w:ilvl="0" w:tplc="EDC2D9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2311A"/>
    <w:multiLevelType w:val="hybridMultilevel"/>
    <w:tmpl w:val="1220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FC"/>
    <w:rsid w:val="00001121"/>
    <w:rsid w:val="000071F6"/>
    <w:rsid w:val="00082127"/>
    <w:rsid w:val="000C182E"/>
    <w:rsid w:val="001E1430"/>
    <w:rsid w:val="002149D4"/>
    <w:rsid w:val="00300EC4"/>
    <w:rsid w:val="0032609F"/>
    <w:rsid w:val="00386FA1"/>
    <w:rsid w:val="003E669D"/>
    <w:rsid w:val="00421C81"/>
    <w:rsid w:val="005B4091"/>
    <w:rsid w:val="00641047"/>
    <w:rsid w:val="006A33E2"/>
    <w:rsid w:val="007116D8"/>
    <w:rsid w:val="007C51E3"/>
    <w:rsid w:val="008D6F3F"/>
    <w:rsid w:val="00AC52FC"/>
    <w:rsid w:val="00AD7568"/>
    <w:rsid w:val="00B22AD5"/>
    <w:rsid w:val="00BA74EF"/>
    <w:rsid w:val="00C85383"/>
    <w:rsid w:val="00D32483"/>
    <w:rsid w:val="00D5282C"/>
    <w:rsid w:val="00D55264"/>
    <w:rsid w:val="00D93279"/>
    <w:rsid w:val="00F920CF"/>
    <w:rsid w:val="00F9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DD17"/>
  <w15:chartTrackingRefBased/>
  <w15:docId w15:val="{FF622FF8-C737-48C8-BBFE-D95365AD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2F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260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55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2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6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2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2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949B-D0B4-4CAF-A4B4-106E3024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Gunn</dc:creator>
  <cp:keywords/>
  <dc:description/>
  <cp:lastModifiedBy>David Gunn</cp:lastModifiedBy>
  <cp:revision>4</cp:revision>
  <dcterms:created xsi:type="dcterms:W3CDTF">2017-06-14T18:11:00Z</dcterms:created>
  <dcterms:modified xsi:type="dcterms:W3CDTF">2017-06-26T18:53:00Z</dcterms:modified>
</cp:coreProperties>
</file>